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620" w:firstRow="1" w:lastRow="0" w:firstColumn="0" w:lastColumn="0" w:noHBand="1" w:noVBand="1"/>
      </w:tblPr>
      <w:tblGrid>
        <w:gridCol w:w="4111"/>
        <w:gridCol w:w="6095"/>
        <w:gridCol w:w="5240"/>
      </w:tblGrid>
      <w:tr w:rsidR="00614698" w14:paraId="0DD3CE6E" w14:textId="77777777" w:rsidTr="005C7F00">
        <w:trPr>
          <w:cantSplit/>
          <w:tblHeader/>
        </w:trPr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572EAFD" w14:textId="77777777" w:rsidR="00B90608" w:rsidRPr="00AC5142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What is the Scheme?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4ADB57D" w14:textId="77777777" w:rsidR="00B90608" w:rsidRPr="00AC5142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Who is eligible?</w:t>
            </w:r>
          </w:p>
        </w:tc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</w:tcPr>
          <w:p w14:paraId="4718647C" w14:textId="77777777" w:rsidR="00B90608" w:rsidRPr="00AC5142" w:rsidRDefault="00B90608" w:rsidP="00AC5142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How to apply?</w:t>
            </w:r>
          </w:p>
        </w:tc>
      </w:tr>
      <w:tr w:rsidR="00614698" w14:paraId="30414DD9" w14:textId="77777777" w:rsidTr="005C7F00">
        <w:trPr>
          <w:cantSplit/>
          <w:tblHeader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1A2FC39" w14:textId="77777777" w:rsidR="00366FB8" w:rsidRPr="00B90608" w:rsidRDefault="00062638" w:rsidP="00614698">
            <w:pPr>
              <w:pStyle w:val="Heading4"/>
              <w:keepNext w:val="0"/>
              <w:keepLines w:val="0"/>
              <w:spacing w:after="120"/>
              <w:outlineLvl w:val="3"/>
              <w:rPr>
                <w:rFonts w:eastAsiaTheme="minorHAnsi" w:cstheme="minorBidi"/>
                <w:i w:val="0"/>
                <w:iCs w:val="0"/>
                <w:color w:val="F26135"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70E8DB3" wp14:editId="10C7B251">
                  <wp:extent cx="2184242" cy="381000"/>
                  <wp:effectExtent l="0" t="0" r="6985" b="0"/>
                  <wp:docPr id="1" name="Picture 1" descr="Territories Stolen Generations Redress Sc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rritoriesredress.gov.au/themes/custom/pearly/images/territories-stolen-generati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15" cy="39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34B2DB44" w14:textId="77777777" w:rsidR="00366FB8" w:rsidRPr="00797502" w:rsidRDefault="00CA1449" w:rsidP="00614698">
            <w:pPr>
              <w:spacing w:before="240" w:line="276" w:lineRule="auto"/>
              <w:rPr>
                <w:rFonts w:ascii="Century Gothic" w:hAnsi="Century Gothic"/>
                <w:color w:val="auto"/>
              </w:rPr>
            </w:pPr>
            <w:hyperlink r:id="rId12" w:history="1">
              <w:r w:rsidR="00366FB8" w:rsidRPr="00797502">
                <w:rPr>
                  <w:rStyle w:val="Hyperlink"/>
                  <w:rFonts w:ascii="Century Gothic" w:hAnsi="Century Gothic"/>
                  <w:color w:val="auto"/>
                </w:rPr>
                <w:t>https://territoriesredress.gov.au</w:t>
              </w:r>
            </w:hyperlink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4C92A142" w14:textId="77777777" w:rsidR="00366FB8" w:rsidRPr="00797502" w:rsidRDefault="00062638" w:rsidP="008C4697">
            <w:pPr>
              <w:pStyle w:val="Heading4"/>
              <w:outlineLvl w:val="3"/>
              <w:rPr>
                <w:rFonts w:eastAsiaTheme="minorHAnsi" w:cstheme="minorBidi"/>
                <w:i w:val="0"/>
                <w:iCs w:val="0"/>
                <w:color w:val="auto"/>
                <w:sz w:val="24"/>
                <w:szCs w:val="24"/>
              </w:rPr>
            </w:pPr>
            <w:r w:rsidRPr="00797502">
              <w:rPr>
                <w:noProof/>
                <w:lang w:eastAsia="en-AU"/>
              </w:rPr>
              <w:drawing>
                <wp:inline distT="0" distB="0" distL="0" distR="0" wp14:anchorId="7AE128E7" wp14:editId="21313087">
                  <wp:extent cx="2551339" cy="428625"/>
                  <wp:effectExtent l="0" t="0" r="1905" b="0"/>
                  <wp:docPr id="2" name="Picture 2" descr="Australian Government National Indigenous Australians Ag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aa-crest-twolin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664" cy="42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698" w14:paraId="431D9328" w14:textId="77777777" w:rsidTr="005C7F00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54BF" w14:textId="77777777" w:rsidR="00366FB8" w:rsidRPr="00A12F1B" w:rsidRDefault="00366FB8" w:rsidP="00366FB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12F1B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="00614698" w:rsidRPr="00A12F1B">
              <w:rPr>
                <w:rFonts w:ascii="Century Gothic" w:hAnsi="Century Gothic"/>
                <w:b/>
                <w:sz w:val="18"/>
                <w:szCs w:val="18"/>
              </w:rPr>
              <w:t xml:space="preserve">Territories Stolen Generations Redress </w:t>
            </w:r>
            <w:r w:rsidRPr="00A12F1B">
              <w:rPr>
                <w:rFonts w:ascii="Century Gothic" w:hAnsi="Century Gothic"/>
                <w:b/>
                <w:sz w:val="18"/>
                <w:szCs w:val="18"/>
              </w:rPr>
              <w:t>Scheme</w:t>
            </w:r>
            <w:r w:rsidRPr="00A12F1B">
              <w:rPr>
                <w:rFonts w:ascii="Century Gothic" w:hAnsi="Century Gothic"/>
                <w:sz w:val="18"/>
                <w:szCs w:val="18"/>
              </w:rPr>
              <w:t xml:space="preserve"> is for Stolen Generations survivors who were removed as children from their families or communities in the territories administered by the Commonwealth. </w:t>
            </w:r>
          </w:p>
          <w:p w14:paraId="42441833" w14:textId="77777777" w:rsidR="00366FB8" w:rsidRPr="00A12F1B" w:rsidRDefault="00366FB8" w:rsidP="00366FB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12F1B">
              <w:rPr>
                <w:rFonts w:ascii="Century Gothic" w:hAnsi="Century Gothic"/>
                <w:sz w:val="18"/>
                <w:szCs w:val="18"/>
              </w:rPr>
              <w:t>The Scheme offers a:</w:t>
            </w:r>
          </w:p>
          <w:p w14:paraId="49613D2F" w14:textId="77777777" w:rsidR="00366FB8" w:rsidRPr="00A12F1B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12F1B">
              <w:rPr>
                <w:rFonts w:ascii="Century Gothic" w:hAnsi="Century Gothic"/>
                <w:sz w:val="18"/>
                <w:szCs w:val="18"/>
              </w:rPr>
              <w:t>redress payment of up to $75,000</w:t>
            </w:r>
          </w:p>
          <w:p w14:paraId="32751A0E" w14:textId="77777777" w:rsidR="00366FB8" w:rsidRPr="00A12F1B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12F1B">
              <w:rPr>
                <w:rFonts w:ascii="Century Gothic" w:hAnsi="Century Gothic"/>
                <w:sz w:val="18"/>
                <w:szCs w:val="18"/>
              </w:rPr>
              <w:t>healing assistance payment of $7,000</w:t>
            </w:r>
          </w:p>
          <w:p w14:paraId="517546BA" w14:textId="77777777" w:rsidR="00366FB8" w:rsidRPr="00A12F1B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12F1B">
              <w:rPr>
                <w:rFonts w:ascii="Century Gothic" w:hAnsi="Century Gothic"/>
                <w:sz w:val="18"/>
                <w:szCs w:val="18"/>
              </w:rPr>
              <w:t xml:space="preserve">Personal Acknowledgement.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73DE4" w14:textId="77777777" w:rsidR="00366FB8" w:rsidRPr="00797502" w:rsidRDefault="00366FB8" w:rsidP="00366FB8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Theme="majorHAnsi" w:hAnsiTheme="majorHAnsi" w:cstheme="minorHAnsi"/>
                <w:sz w:val="18"/>
                <w:szCs w:val="18"/>
              </w:rPr>
              <w:t>T</w:t>
            </w:r>
            <w:r w:rsidRPr="00797502">
              <w:rPr>
                <w:rFonts w:ascii="Century Gothic" w:hAnsi="Century Gothic"/>
                <w:sz w:val="18"/>
                <w:szCs w:val="18"/>
              </w:rPr>
              <w:t>he delegated National Indigenous Australians Agency decision-maker must be satisfied that it is </w:t>
            </w:r>
            <w:r w:rsidRPr="00797502">
              <w:rPr>
                <w:rFonts w:ascii="Century Gothic" w:hAnsi="Century Gothic"/>
                <w:i/>
                <w:sz w:val="18"/>
                <w:szCs w:val="18"/>
              </w:rPr>
              <w:t>plausible</w:t>
            </w:r>
            <w:r w:rsidRPr="00797502">
              <w:rPr>
                <w:rFonts w:ascii="Century Gothic" w:hAnsi="Century Gothic"/>
                <w:sz w:val="18"/>
                <w:szCs w:val="18"/>
              </w:rPr>
              <w:t> that:</w:t>
            </w:r>
          </w:p>
          <w:p w14:paraId="4B7E1205" w14:textId="77777777" w:rsidR="00366FB8" w:rsidRPr="00797502" w:rsidRDefault="00366FB8" w:rsidP="00366F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The applicant is a person of Aboriginal and/or Torres Strait Islander descent, who is a Stolen Generations survivor; and </w:t>
            </w:r>
          </w:p>
          <w:p w14:paraId="3E861A84" w14:textId="77777777" w:rsidR="00366FB8" w:rsidRPr="00797502" w:rsidRDefault="00366FB8" w:rsidP="00366FB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The applicant’s removal took place in the:</w:t>
            </w:r>
          </w:p>
          <w:p w14:paraId="39B4057B" w14:textId="77777777" w:rsidR="00366FB8" w:rsidRPr="00797502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NT prior to 1 July 1978; or</w:t>
            </w:r>
          </w:p>
          <w:p w14:paraId="4A431D1E" w14:textId="77777777" w:rsidR="00366FB8" w:rsidRPr="00797502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ACT prior to 11 May 1989; or</w:t>
            </w:r>
          </w:p>
          <w:p w14:paraId="0BC0F526" w14:textId="77777777" w:rsidR="00366FB8" w:rsidRPr="00797502" w:rsidRDefault="00366FB8" w:rsidP="00376C21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Jervis Bay Territory.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95FD7" w14:textId="77777777" w:rsidR="00062638" w:rsidRPr="00797502" w:rsidRDefault="00062638" w:rsidP="00062638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14:paraId="252E74F4" w14:textId="77777777" w:rsidR="00366FB8" w:rsidRPr="00797502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Visit the Scheme’s online portal </w:t>
            </w:r>
            <w:hyperlink r:id="rId14" w:history="1">
              <w:r w:rsidRPr="00797502">
                <w:rPr>
                  <w:rFonts w:ascii="Century Gothic" w:hAnsi="Century Gothic"/>
                  <w:sz w:val="18"/>
                  <w:szCs w:val="18"/>
                  <w:u w:val="single"/>
                </w:rPr>
                <w:t>https://portal.territoriesredress.gov.au</w:t>
              </w:r>
            </w:hyperlink>
          </w:p>
          <w:p w14:paraId="024970D0" w14:textId="77777777" w:rsidR="00366FB8" w:rsidRPr="00797502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Download an application form </w:t>
            </w:r>
          </w:p>
          <w:p w14:paraId="56798991" w14:textId="77777777" w:rsidR="00366FB8" w:rsidRPr="00797502" w:rsidRDefault="00CA1449" w:rsidP="00366FB8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hyperlink r:id="rId15" w:history="1">
              <w:r w:rsidR="00366FB8" w:rsidRPr="00797502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http://territoriesredress.gov.au/resources/application-redress-form</w:t>
              </w:r>
            </w:hyperlink>
          </w:p>
          <w:p w14:paraId="0F9F6DC0" w14:textId="77777777" w:rsidR="00366FB8" w:rsidRPr="00797502" w:rsidRDefault="00761555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E</w:t>
            </w:r>
            <w:r w:rsidR="00366FB8" w:rsidRPr="00797502">
              <w:rPr>
                <w:rFonts w:ascii="Century Gothic" w:hAnsi="Century Gothic"/>
                <w:sz w:val="18"/>
                <w:szCs w:val="18"/>
              </w:rPr>
              <w:t xml:space="preserve">mail </w:t>
            </w:r>
            <w:hyperlink r:id="rId16" w:history="1">
              <w:r w:rsidR="00366FB8" w:rsidRPr="00797502">
                <w:rPr>
                  <w:rFonts w:ascii="Century Gothic" w:hAnsi="Century Gothic"/>
                  <w:sz w:val="18"/>
                  <w:szCs w:val="18"/>
                </w:rPr>
                <w:t>help@territoriesredress.gov.au</w:t>
              </w:r>
            </w:hyperlink>
          </w:p>
          <w:p w14:paraId="724222B5" w14:textId="77777777" w:rsidR="00366FB8" w:rsidRPr="00797502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Call 1800 566 111</w:t>
            </w:r>
          </w:p>
          <w:p w14:paraId="6E3A704A" w14:textId="77777777" w:rsidR="00366FB8" w:rsidRPr="00797502" w:rsidRDefault="00366FB8" w:rsidP="00366FB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Seek assistance from a Scheme support service.</w:t>
            </w:r>
          </w:p>
          <w:p w14:paraId="52F2AE82" w14:textId="638E01C5" w:rsidR="00366FB8" w:rsidRPr="00797502" w:rsidRDefault="00366FB8" w:rsidP="00D80A0D">
            <w:pPr>
              <w:spacing w:line="276" w:lineRule="auto"/>
              <w:rPr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Applications </w:t>
            </w:r>
            <w:r w:rsidR="00D80A0D" w:rsidRPr="00797502">
              <w:rPr>
                <w:rFonts w:ascii="Century Gothic" w:hAnsi="Century Gothic"/>
                <w:sz w:val="18"/>
                <w:szCs w:val="18"/>
              </w:rPr>
              <w:t>close</w:t>
            </w:r>
            <w:r w:rsidR="00761555" w:rsidRPr="00797502">
              <w:rPr>
                <w:rFonts w:ascii="Century Gothic" w:hAnsi="Century Gothic"/>
                <w:sz w:val="18"/>
                <w:szCs w:val="18"/>
              </w:rPr>
              <w:t xml:space="preserve"> on</w:t>
            </w:r>
            <w:r w:rsidRPr="007975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C31F9">
              <w:rPr>
                <w:rFonts w:ascii="Century Gothic" w:hAnsi="Century Gothic"/>
                <w:sz w:val="18"/>
                <w:szCs w:val="18"/>
              </w:rPr>
              <w:t>31</w:t>
            </w:r>
            <w:r w:rsidRPr="00797502">
              <w:rPr>
                <w:rFonts w:ascii="Century Gothic" w:hAnsi="Century Gothic"/>
                <w:sz w:val="18"/>
                <w:szCs w:val="18"/>
              </w:rPr>
              <w:t> </w:t>
            </w:r>
            <w:r w:rsidR="004C31F9">
              <w:rPr>
                <w:rFonts w:ascii="Century Gothic" w:hAnsi="Century Gothic"/>
                <w:sz w:val="18"/>
                <w:szCs w:val="18"/>
              </w:rPr>
              <w:t>August 2027</w:t>
            </w:r>
            <w:r w:rsidRPr="0079750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8D64ED" w14:paraId="1CE18A6E" w14:textId="77777777" w:rsidTr="005C7F00">
        <w:trPr>
          <w:cantSplit/>
          <w:trHeight w:val="643"/>
          <w:tblHeader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60A34EE1" w14:textId="77777777" w:rsidR="008D64ED" w:rsidRDefault="008D64ED" w:rsidP="003E633A">
            <w:pPr>
              <w:spacing w:before="240"/>
            </w:pPr>
            <w:r>
              <w:rPr>
                <w:noProof/>
                <w:color w:val="201F1E"/>
                <w:sz w:val="18"/>
                <w:szCs w:val="18"/>
                <w:lang w:eastAsia="en-AU"/>
              </w:rPr>
              <w:drawing>
                <wp:inline distT="0" distB="0" distL="0" distR="0" wp14:anchorId="11F48F27" wp14:editId="2066206D">
                  <wp:extent cx="1682750" cy="534914"/>
                  <wp:effectExtent l="0" t="0" r="0" b="0"/>
                  <wp:docPr id="3" name="Picture 3" descr="Victorian Stolen Generations Reparations Pack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19" cy="53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7415F669" w14:textId="77777777" w:rsidR="008D64ED" w:rsidRPr="00797502" w:rsidRDefault="00CA1449" w:rsidP="003E633A">
            <w:pPr>
              <w:spacing w:before="240" w:line="276" w:lineRule="auto"/>
            </w:pPr>
            <w:hyperlink r:id="rId19" w:history="1">
              <w:r w:rsidR="008D64ED" w:rsidRPr="00797502">
                <w:rPr>
                  <w:rStyle w:val="Hyperlink"/>
                  <w:rFonts w:ascii="Century Gothic" w:hAnsi="Century Gothic"/>
                  <w:color w:val="auto"/>
                </w:rPr>
                <w:t>https://www.vic.gov.au/stolen-generations-reparations-package</w:t>
              </w:r>
            </w:hyperlink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099B10D6" w14:textId="77777777" w:rsidR="008D64ED" w:rsidRPr="00797502" w:rsidRDefault="00062638" w:rsidP="008C4697">
            <w:pPr>
              <w:spacing w:before="240"/>
            </w:pPr>
            <w:r w:rsidRPr="00797502">
              <w:rPr>
                <w:noProof/>
                <w:lang w:eastAsia="en-AU"/>
              </w:rPr>
              <w:drawing>
                <wp:inline distT="0" distB="0" distL="0" distR="0" wp14:anchorId="1860F2CF" wp14:editId="731FDC32">
                  <wp:extent cx="1789248" cy="486006"/>
                  <wp:effectExtent l="0" t="0" r="1905" b="9525"/>
                  <wp:docPr id="5" name="Picture 5" descr="Victorian Government Department of Justice and Community Saf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justice.vic.gov.au/profiles/justice/themes/justice_bootstrap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77" cy="49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4ED" w14:paraId="39A6518A" w14:textId="77777777" w:rsidTr="005C7F00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869A4" w14:textId="77777777" w:rsidR="008D64ED" w:rsidRDefault="008D64ED" w:rsidP="003E633A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D80A0D">
              <w:rPr>
                <w:rFonts w:ascii="Century Gothic" w:hAnsi="Century Gothic"/>
                <w:sz w:val="18"/>
                <w:szCs w:val="18"/>
              </w:rPr>
              <w:t xml:space="preserve">he </w:t>
            </w:r>
            <w:r w:rsidRPr="00D80A0D">
              <w:rPr>
                <w:rFonts w:ascii="Century Gothic" w:hAnsi="Century Gothic"/>
                <w:b/>
                <w:sz w:val="18"/>
                <w:szCs w:val="18"/>
              </w:rPr>
              <w:t>Victorian Stolen Generations Reparations Package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is </w:t>
            </w:r>
            <w:r w:rsidRPr="00D80A0D">
              <w:rPr>
                <w:rFonts w:ascii="Century Gothic" w:hAnsi="Century Gothic"/>
                <w:sz w:val="18"/>
                <w:szCs w:val="18"/>
              </w:rPr>
              <w:t xml:space="preserve">to help address the trauma and suffering caused by the forced removal of Aboriginal and Torres Strait Islander children from their families,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community, </w:t>
            </w:r>
            <w:r w:rsidRPr="00D80A0D">
              <w:rPr>
                <w:rFonts w:ascii="Century Gothic" w:hAnsi="Century Gothic"/>
                <w:sz w:val="18"/>
                <w:szCs w:val="18"/>
              </w:rPr>
              <w:t>culture</w:t>
            </w:r>
            <w:r>
              <w:rPr>
                <w:rFonts w:ascii="Century Gothic" w:hAnsi="Century Gothic"/>
                <w:sz w:val="18"/>
                <w:szCs w:val="18"/>
              </w:rPr>
              <w:t>, identity</w:t>
            </w:r>
            <w:r w:rsidRPr="00D80A0D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language. </w:t>
            </w:r>
          </w:p>
          <w:p w14:paraId="73497D96" w14:textId="77777777" w:rsidR="008D64ED" w:rsidRPr="00AC514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C5142">
              <w:rPr>
                <w:rFonts w:ascii="Century Gothic" w:hAnsi="Century Gothic"/>
                <w:sz w:val="18"/>
                <w:szCs w:val="18"/>
              </w:rPr>
              <w:t>a payment of $100,000</w:t>
            </w:r>
          </w:p>
          <w:p w14:paraId="6563C87E" w14:textId="77777777" w:rsidR="008D64ED" w:rsidRPr="00AC514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C5142">
              <w:rPr>
                <w:rFonts w:ascii="Century Gothic" w:hAnsi="Century Gothic"/>
                <w:sz w:val="18"/>
                <w:szCs w:val="18"/>
              </w:rPr>
              <w:t xml:space="preserve">a personal apology </w:t>
            </w:r>
          </w:p>
          <w:p w14:paraId="400F8448" w14:textId="77777777" w:rsidR="008D64ED" w:rsidRPr="00AC514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AC5142">
              <w:rPr>
                <w:rFonts w:ascii="Century Gothic" w:hAnsi="Century Gothic"/>
                <w:sz w:val="18"/>
                <w:szCs w:val="18"/>
              </w:rPr>
              <w:t>access to trauma-informed counselling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other support services</w:t>
            </w:r>
          </w:p>
          <w:p w14:paraId="2E529753" w14:textId="77777777" w:rsidR="008D64ED" w:rsidRPr="0072586F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AC5142">
              <w:rPr>
                <w:rFonts w:ascii="Century Gothic" w:hAnsi="Century Gothic"/>
                <w:sz w:val="18"/>
                <w:szCs w:val="18"/>
              </w:rPr>
              <w:t>access to records held by the State about their removal</w:t>
            </w:r>
          </w:p>
          <w:p w14:paraId="31840479" w14:textId="77777777" w:rsidR="008D64ED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AC5142">
              <w:rPr>
                <w:rFonts w:ascii="Century Gothic" w:hAnsi="Century Gothic"/>
                <w:sz w:val="18"/>
                <w:szCs w:val="18"/>
              </w:rPr>
              <w:t>supported access to healing programs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6E13" w14:textId="77777777" w:rsidR="008D64ED" w:rsidRPr="00797502" w:rsidRDefault="008D64ED" w:rsidP="003E633A">
            <w:pPr>
              <w:pStyle w:val="NormalWeb"/>
              <w:spacing w:before="120" w:beforeAutospacing="0" w:after="120" w:afterAutospacing="0" w:line="276" w:lineRule="auto"/>
              <w:rPr>
                <w:rFonts w:ascii="Century Gothic" w:eastAsiaTheme="minorHAnsi" w:hAnsi="Century Gothic" w:cstheme="minorBidi"/>
                <w:color w:val="262626" w:themeColor="text1" w:themeTint="D9"/>
                <w:sz w:val="18"/>
                <w:szCs w:val="18"/>
                <w:lang w:eastAsia="en-US"/>
              </w:rPr>
            </w:pPr>
            <w:r w:rsidRPr="00797502">
              <w:rPr>
                <w:rFonts w:asciiTheme="majorHAnsi" w:hAnsiTheme="majorHAnsi"/>
                <w:sz w:val="20"/>
                <w:szCs w:val="20"/>
              </w:rPr>
              <w:t>T</w:t>
            </w:r>
            <w:r w:rsidRPr="00797502">
              <w:rPr>
                <w:rFonts w:ascii="Century Gothic" w:eastAsiaTheme="minorHAnsi" w:hAnsi="Century Gothic" w:cstheme="minorBidi"/>
                <w:color w:val="262626" w:themeColor="text1" w:themeTint="D9"/>
                <w:sz w:val="18"/>
                <w:szCs w:val="18"/>
                <w:lang w:eastAsia="en-US"/>
              </w:rPr>
              <w:t>he Package is available to people who:</w:t>
            </w:r>
          </w:p>
          <w:p w14:paraId="620799C1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are Aboriginal and/or Torres Strait Islander </w:t>
            </w:r>
          </w:p>
          <w:p w14:paraId="58A26C8F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have been removed by a government or non-government agency prior to 31 December 1976, while under the age of 18 </w:t>
            </w:r>
          </w:p>
          <w:p w14:paraId="6A2B95EB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have been first removed in Victoria </w:t>
            </w:r>
          </w:p>
          <w:p w14:paraId="25234EC2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have been separated from their family for a period of time that resulted in the experience of loss of family, community, culture, identity, and language and</w:t>
            </w:r>
          </w:p>
          <w:p w14:paraId="56914204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797502">
              <w:rPr>
                <w:rFonts w:ascii="Century Gothic" w:hAnsi="Century Gothic"/>
                <w:sz w:val="18"/>
                <w:szCs w:val="18"/>
              </w:rPr>
              <w:t>have lodged a valid application with all necessary supporting identification documents.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E6F9E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Visit the website for more information </w:t>
            </w:r>
            <w:hyperlink r:id="rId21" w:history="1">
              <w:r w:rsidRPr="00797502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http://www.vic.gov.au/stolen-generations-reparations-package</w:t>
              </w:r>
            </w:hyperlink>
          </w:p>
          <w:p w14:paraId="622CC3E8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Apply online or download an application form </w:t>
            </w:r>
            <w:hyperlink r:id="rId22" w:anchor="apply-now" w:history="1">
              <w:r w:rsidRPr="00797502">
                <w:rPr>
                  <w:rStyle w:val="Hyperlink"/>
                  <w:rFonts w:ascii="Century Gothic" w:hAnsi="Century Gothic"/>
                  <w:sz w:val="18"/>
                  <w:szCs w:val="18"/>
                </w:rPr>
                <w:t>https://www.vic.gov.au/stolen-generations-reparations-package#apply-now</w:t>
              </w:r>
            </w:hyperlink>
          </w:p>
          <w:p w14:paraId="6A648E5E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743"/>
              <w:contextualSpacing w:val="0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Email </w:t>
            </w:r>
            <w:hyperlink r:id="rId23" w:history="1">
              <w:r w:rsidRPr="00797502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</w:rPr>
                <w:t>stolen.generations@justice.vic.gov.au</w:t>
              </w:r>
            </w:hyperlink>
          </w:p>
          <w:p w14:paraId="2EB6AC5A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Call 1800 566 071 </w:t>
            </w:r>
            <w:r w:rsidRPr="00797502">
              <w:rPr>
                <w:rFonts w:ascii="Century Gothic" w:hAnsi="Century Gothic"/>
                <w:bCs/>
                <w:sz w:val="18"/>
                <w:szCs w:val="18"/>
              </w:rPr>
              <w:t>(from 9am to 5pm, Monday to Friday)</w:t>
            </w:r>
          </w:p>
          <w:p w14:paraId="30FECA5E" w14:textId="77777777" w:rsidR="008D64ED" w:rsidRPr="00797502" w:rsidRDefault="008D64ED" w:rsidP="003E633A">
            <w:pPr>
              <w:pStyle w:val="NormalWeb"/>
              <w:spacing w:before="120" w:beforeAutospacing="0" w:after="120" w:afterAutospacing="0" w:line="276" w:lineRule="auto"/>
            </w:pPr>
            <w:r w:rsidRPr="00797502">
              <w:rPr>
                <w:rFonts w:asciiTheme="majorHAnsi" w:hAnsiTheme="majorHAnsi"/>
                <w:sz w:val="20"/>
                <w:szCs w:val="20"/>
              </w:rPr>
              <w:t>A</w:t>
            </w:r>
            <w:r w:rsidRPr="00797502">
              <w:rPr>
                <w:rFonts w:ascii="Century Gothic" w:eastAsiaTheme="minorHAnsi" w:hAnsi="Century Gothic" w:cstheme="minorBidi"/>
                <w:color w:val="262626" w:themeColor="text1" w:themeTint="D9"/>
                <w:sz w:val="18"/>
                <w:szCs w:val="18"/>
                <w:lang w:eastAsia="en-US"/>
              </w:rPr>
              <w:t>pplications close on 31 March 2027.</w:t>
            </w:r>
          </w:p>
        </w:tc>
      </w:tr>
    </w:tbl>
    <w:p w14:paraId="3C92E95C" w14:textId="77777777" w:rsidR="00376C21" w:rsidRDefault="00376C21">
      <w:r>
        <w:br w:type="page"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  <w:gridCol w:w="5240"/>
      </w:tblGrid>
      <w:tr w:rsidR="008D64ED" w:rsidRPr="00AC5142" w14:paraId="2521D688" w14:textId="77777777" w:rsidTr="003E633A"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B0F3A2C" w14:textId="77777777" w:rsidR="008D64ED" w:rsidRPr="00AC5142" w:rsidRDefault="008D64ED" w:rsidP="003E633A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lastRenderedPageBreak/>
              <w:t>What is the Scheme?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42379C53" w14:textId="77777777" w:rsidR="008D64ED" w:rsidRPr="00AC5142" w:rsidRDefault="008D64ED" w:rsidP="003E633A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Who is eligible?</w:t>
            </w:r>
          </w:p>
        </w:tc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</w:tcPr>
          <w:p w14:paraId="6A74FD2F" w14:textId="77777777" w:rsidR="008D64ED" w:rsidRPr="00AC5142" w:rsidRDefault="008D64ED" w:rsidP="003E633A">
            <w:pPr>
              <w:spacing w:line="276" w:lineRule="auto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AC5142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How to apply?</w:t>
            </w:r>
          </w:p>
        </w:tc>
      </w:tr>
      <w:tr w:rsidR="008D64ED" w14:paraId="2747502C" w14:textId="77777777" w:rsidTr="003E633A"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E2FECCF" w14:textId="77777777" w:rsidR="008D64ED" w:rsidRDefault="008D64ED" w:rsidP="003E633A">
            <w:pPr>
              <w:spacing w:before="240"/>
            </w:pPr>
            <w:r>
              <w:rPr>
                <w:noProof/>
                <w:lang w:eastAsia="en-AU"/>
              </w:rPr>
              <w:drawing>
                <wp:inline distT="0" distB="0" distL="0" distR="0" wp14:anchorId="7BE47751" wp14:editId="695C0277">
                  <wp:extent cx="1334917" cy="463550"/>
                  <wp:effectExtent l="0" t="0" r="0" b="0"/>
                  <wp:docPr id="8" name="Picture 8" descr="National Redress Sch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51" cy="49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2F9C8D07" w14:textId="77777777" w:rsidR="008D64ED" w:rsidRPr="00797502" w:rsidRDefault="00CA1449" w:rsidP="003E633A">
            <w:pPr>
              <w:spacing w:before="240" w:line="276" w:lineRule="auto"/>
            </w:pPr>
            <w:hyperlink r:id="rId25" w:history="1">
              <w:r w:rsidR="008D64ED" w:rsidRPr="00797502">
                <w:rPr>
                  <w:rStyle w:val="Hyperlink"/>
                  <w:rFonts w:ascii="Century Gothic" w:hAnsi="Century Gothic"/>
                  <w:color w:val="000000" w:themeColor="text1"/>
                </w:rPr>
                <w:t>https://www.nationalredress.gov.au</w:t>
              </w:r>
            </w:hyperlink>
          </w:p>
        </w:tc>
        <w:tc>
          <w:tcPr>
            <w:tcW w:w="5240" w:type="dxa"/>
            <w:tcBorders>
              <w:left w:val="nil"/>
              <w:bottom w:val="nil"/>
              <w:right w:val="nil"/>
            </w:tcBorders>
          </w:tcPr>
          <w:p w14:paraId="23DB187E" w14:textId="77777777" w:rsidR="008D64ED" w:rsidRPr="00797502" w:rsidRDefault="00180B77" w:rsidP="008C4697">
            <w:r w:rsidRPr="00797502">
              <w:rPr>
                <w:noProof/>
                <w:lang w:eastAsia="en-AU"/>
              </w:rPr>
              <w:drawing>
                <wp:inline distT="0" distB="0" distL="0" distR="0" wp14:anchorId="04729347" wp14:editId="76593BBD">
                  <wp:extent cx="2710180" cy="615950"/>
                  <wp:effectExtent l="0" t="0" r="0" b="0"/>
                  <wp:docPr id="6" name="Picture 6" descr="Australian Government Department of Social Ser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ss.gov.au/sites/all/themes/dss_2014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70" cy="6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4ED" w14:paraId="4AEB6F83" w14:textId="77777777" w:rsidTr="003E633A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5DB7CE0" w14:textId="77777777" w:rsidR="008D64ED" w:rsidRDefault="008D64ED" w:rsidP="003E633A">
            <w:pPr>
              <w:rPr>
                <w:rFonts w:ascii="Century Gothic" w:hAnsi="Century Gothic"/>
                <w:sz w:val="18"/>
                <w:szCs w:val="18"/>
              </w:rPr>
            </w:pPr>
            <w:r w:rsidRPr="003E633A">
              <w:rPr>
                <w:rFonts w:ascii="Century Gothic" w:hAnsi="Century Gothic"/>
                <w:sz w:val="18"/>
                <w:szCs w:val="18"/>
              </w:rPr>
              <w:t>Between 2013 and 2017, t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he Royal Commission into Institutional Responses to Child Sexual Abuse listened to thousands of people about the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sexual </w:t>
            </w:r>
            <w:r w:rsidRPr="006F1D43">
              <w:rPr>
                <w:rFonts w:ascii="Century Gothic" w:hAnsi="Century Gothic"/>
                <w:sz w:val="18"/>
                <w:szCs w:val="18"/>
              </w:rPr>
              <w:t>abuse they experienced as childr</w:t>
            </w:r>
            <w:r>
              <w:rPr>
                <w:rFonts w:ascii="Century Gothic" w:hAnsi="Century Gothic"/>
                <w:sz w:val="18"/>
                <w:szCs w:val="18"/>
              </w:rPr>
              <w:t>en in an institution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005295DD" w14:textId="77777777" w:rsidR="008D64ED" w:rsidRPr="006F1D43" w:rsidRDefault="008D64ED" w:rsidP="003E63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6F1D43">
              <w:rPr>
                <w:rFonts w:ascii="Century Gothic" w:hAnsi="Century Gothic"/>
                <w:sz w:val="18"/>
                <w:szCs w:val="18"/>
              </w:rPr>
              <w:t>n response, the Australian Government set up the National Redress Scheme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 people who have experienced institutional child sexual abuse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sz w:val="18"/>
                <w:szCs w:val="18"/>
              </w:rPr>
              <w:t>The Scheme a</w:t>
            </w:r>
            <w:r w:rsidRPr="00346132">
              <w:rPr>
                <w:rFonts w:ascii="Century Gothic" w:hAnsi="Century Gothic"/>
                <w:sz w:val="18"/>
                <w:szCs w:val="18"/>
              </w:rPr>
              <w:t>cknowledges that many children were sexually abused in Australian institutions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346132">
              <w:rPr>
                <w:rFonts w:ascii="Century Gothic" w:hAnsi="Century Gothic"/>
                <w:sz w:val="18"/>
                <w:szCs w:val="18"/>
              </w:rPr>
              <w:t xml:space="preserve">holds institutions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Pr="00346132">
              <w:rPr>
                <w:rFonts w:ascii="Century Gothic" w:hAnsi="Century Gothic"/>
                <w:sz w:val="18"/>
                <w:szCs w:val="18"/>
              </w:rPr>
              <w:t>accou</w:t>
            </w:r>
            <w:r>
              <w:rPr>
                <w:rFonts w:ascii="Century Gothic" w:hAnsi="Century Gothic"/>
                <w:sz w:val="18"/>
                <w:szCs w:val="18"/>
              </w:rPr>
              <w:t>nt.</w:t>
            </w:r>
          </w:p>
          <w:p w14:paraId="7B4BF5C1" w14:textId="77777777" w:rsidR="008D64ED" w:rsidRPr="006F1D43" w:rsidRDefault="008D64ED" w:rsidP="003E633A">
            <w:pPr>
              <w:rPr>
                <w:rFonts w:ascii="Century Gothic" w:hAnsi="Century Gothic"/>
                <w:sz w:val="18"/>
                <w:szCs w:val="18"/>
              </w:rPr>
            </w:pPr>
            <w:r w:rsidRPr="006F1D43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Scheme 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provides access to: </w:t>
            </w:r>
          </w:p>
          <w:p w14:paraId="2C1FEF57" w14:textId="77777777" w:rsidR="008D64ED" w:rsidRPr="0071176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F1D43">
              <w:rPr>
                <w:rFonts w:ascii="Century Gothic" w:hAnsi="Century Gothic"/>
                <w:sz w:val="18"/>
                <w:szCs w:val="18"/>
              </w:rPr>
              <w:t>Counselling</w:t>
            </w:r>
            <w:r w:rsidRPr="00711762">
              <w:rPr>
                <w:rFonts w:ascii="Century Gothic" w:hAnsi="Century Gothic"/>
                <w:sz w:val="18"/>
                <w:szCs w:val="18"/>
              </w:rPr>
              <w:t xml:space="preserve"> that is confidential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1762">
              <w:rPr>
                <w:rFonts w:ascii="Century Gothic" w:hAnsi="Century Gothic"/>
                <w:sz w:val="18"/>
                <w:szCs w:val="18"/>
              </w:rPr>
              <w:t>and culturally safe</w:t>
            </w:r>
          </w:p>
          <w:p w14:paraId="602DB8FE" w14:textId="77777777" w:rsidR="008D64ED" w:rsidRPr="006F1D43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F1D43">
              <w:rPr>
                <w:rFonts w:ascii="Century Gothic" w:hAnsi="Century Gothic"/>
                <w:sz w:val="18"/>
                <w:szCs w:val="18"/>
              </w:rPr>
              <w:t>A payment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of up to $150,000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, and </w:t>
            </w:r>
          </w:p>
          <w:p w14:paraId="551EC0B0" w14:textId="77777777" w:rsidR="008D64ED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6F1D43">
              <w:rPr>
                <w:rFonts w:ascii="Century Gothic" w:hAnsi="Century Gothic"/>
                <w:sz w:val="18"/>
                <w:szCs w:val="18"/>
              </w:rPr>
              <w:t xml:space="preserve">The option of 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direct </w:t>
            </w:r>
            <w:r w:rsidRPr="006F1D43">
              <w:rPr>
                <w:rFonts w:ascii="Century Gothic" w:hAnsi="Century Gothic"/>
                <w:sz w:val="18"/>
                <w:szCs w:val="18"/>
              </w:rPr>
              <w:t xml:space="preserve">personal response from the institution (e.g. an apology). 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7D306AB" w14:textId="77777777" w:rsidR="008D64ED" w:rsidRPr="00797502" w:rsidRDefault="008D64ED" w:rsidP="003E633A">
            <w:pPr>
              <w:pStyle w:val="NormalWeb"/>
              <w:spacing w:before="120" w:beforeAutospacing="0" w:after="120" w:afterAutospacing="0" w:line="276" w:lineRule="auto"/>
              <w:rPr>
                <w:rFonts w:ascii="Century Gothic" w:eastAsiaTheme="minorHAnsi" w:hAnsi="Century Gothic" w:cstheme="minorBidi"/>
                <w:color w:val="262626" w:themeColor="text1" w:themeTint="D9"/>
                <w:sz w:val="18"/>
                <w:szCs w:val="18"/>
                <w:lang w:eastAsia="en-US"/>
              </w:rPr>
            </w:pPr>
            <w:r w:rsidRPr="00797502">
              <w:rPr>
                <w:rFonts w:ascii="Century Gothic" w:eastAsiaTheme="minorHAnsi" w:hAnsi="Century Gothic" w:cstheme="minorBidi"/>
                <w:color w:val="262626" w:themeColor="text1" w:themeTint="D9"/>
                <w:sz w:val="18"/>
                <w:szCs w:val="18"/>
                <w:lang w:eastAsia="en-US"/>
              </w:rPr>
              <w:t>Applicants can apply to the National Redress Scheme if:</w:t>
            </w:r>
          </w:p>
          <w:p w14:paraId="15B382B9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You experienced sexual abuse when you were under 18 years of age, and</w:t>
            </w:r>
          </w:p>
          <w:p w14:paraId="22AABA51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You were born before 30 June 2010, and</w:t>
            </w:r>
          </w:p>
          <w:p w14:paraId="0ABA775E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The abuse happened before 1 July 2018 while you were in the care of an institution, such as a school, church, sporting club, juvenile justice, or mission, and</w:t>
            </w:r>
          </w:p>
          <w:p w14:paraId="2E81FEA2" w14:textId="77777777" w:rsidR="008D64ED" w:rsidRPr="00797502" w:rsidRDefault="008D64ED" w:rsidP="003E633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You are an Australian citizen or permanent resident. </w:t>
            </w:r>
          </w:p>
          <w:p w14:paraId="4C124A24" w14:textId="77777777" w:rsidR="008D64ED" w:rsidRPr="00797502" w:rsidRDefault="008D64ED" w:rsidP="003E633A">
            <w:pPr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To access redress, the institution responsible for the abuse must have joined the Scheme.</w:t>
            </w:r>
          </w:p>
        </w:tc>
        <w:tc>
          <w:tcPr>
            <w:tcW w:w="5240" w:type="dxa"/>
            <w:tcBorders>
              <w:top w:val="nil"/>
              <w:left w:val="nil"/>
              <w:right w:val="nil"/>
            </w:tcBorders>
          </w:tcPr>
          <w:p w14:paraId="74B3373E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Visit the Scheme’s website </w:t>
            </w:r>
            <w:hyperlink r:id="rId27" w:history="1">
              <w:r w:rsidRPr="00797502">
                <w:rPr>
                  <w:rStyle w:val="Hyperlink"/>
                  <w:rFonts w:ascii="Century Gothic" w:hAnsi="Century Gothic"/>
                  <w:color w:val="000000" w:themeColor="text1"/>
                  <w:sz w:val="18"/>
                  <w:szCs w:val="18"/>
                </w:rPr>
                <w:t>https://www.nationalredress.gov.au/</w:t>
              </w:r>
            </w:hyperlink>
            <w:r w:rsidRPr="007975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97502">
              <w:rPr>
                <w:rStyle w:val="Hyperlink"/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A5B4282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 xml:space="preserve">Call </w:t>
            </w:r>
            <w:r w:rsidRPr="00797502">
              <w:rPr>
                <w:rFonts w:asciiTheme="majorHAnsi" w:hAnsiTheme="majorHAnsi"/>
              </w:rPr>
              <w:t>1800 737 377</w:t>
            </w:r>
          </w:p>
          <w:p w14:paraId="3A1327CE" w14:textId="77777777" w:rsidR="008D64ED" w:rsidRPr="00797502" w:rsidRDefault="008D64ED" w:rsidP="003E633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97502">
              <w:rPr>
                <w:rFonts w:ascii="Century Gothic" w:hAnsi="Century Gothic"/>
                <w:sz w:val="18"/>
                <w:szCs w:val="18"/>
              </w:rPr>
              <w:t>Free and confidential legal, financial, emotional and practical support is available to help you throughout the application process. Information on how to access support services can be found at:</w:t>
            </w:r>
            <w:r w:rsidRPr="00797502">
              <w:rPr>
                <w:rFonts w:ascii="Century Gothic" w:hAnsi="Century Gothic"/>
                <w:sz w:val="18"/>
                <w:szCs w:val="18"/>
              </w:rPr>
              <w:br/>
            </w:r>
            <w:hyperlink r:id="rId28" w:history="1">
              <w:r w:rsidRPr="00797502">
                <w:rPr>
                  <w:rStyle w:val="Hyperlink"/>
                  <w:rFonts w:ascii="Century Gothic" w:hAnsi="Century Gothic"/>
                  <w:color w:val="000000" w:themeColor="text1"/>
                  <w:sz w:val="18"/>
                  <w:szCs w:val="18"/>
                </w:rPr>
                <w:t>https://www.nationalredress.gov.au/support</w:t>
              </w:r>
            </w:hyperlink>
            <w:r w:rsidRPr="0079750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0BEAD49E" w14:textId="77777777" w:rsidR="008D64ED" w:rsidRPr="00797502" w:rsidRDefault="008D64ED" w:rsidP="003E633A">
            <w:r w:rsidRPr="00797502">
              <w:rPr>
                <w:rFonts w:asciiTheme="majorHAnsi" w:hAnsiTheme="majorHAnsi"/>
              </w:rPr>
              <w:t>A</w:t>
            </w:r>
            <w:r w:rsidRPr="00797502">
              <w:rPr>
                <w:rFonts w:ascii="Century Gothic" w:hAnsi="Century Gothic"/>
                <w:sz w:val="18"/>
                <w:szCs w:val="18"/>
              </w:rPr>
              <w:t>pplications close on 30 June 2027</w:t>
            </w:r>
          </w:p>
        </w:tc>
      </w:tr>
    </w:tbl>
    <w:p w14:paraId="4521E4AF" w14:textId="77777777" w:rsidR="006962D9" w:rsidRDefault="006962D9"/>
    <w:sectPr w:rsidR="006962D9" w:rsidSect="00B9060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B924" w14:textId="77777777" w:rsidR="00B36C59" w:rsidRDefault="00B36C59" w:rsidP="00A12F1B">
      <w:pPr>
        <w:spacing w:after="0" w:line="240" w:lineRule="auto"/>
      </w:pPr>
      <w:r>
        <w:separator/>
      </w:r>
    </w:p>
  </w:endnote>
  <w:endnote w:type="continuationSeparator" w:id="0">
    <w:p w14:paraId="1D57452F" w14:textId="77777777" w:rsidR="00B36C59" w:rsidRDefault="00B36C59" w:rsidP="00A12F1B">
      <w:pPr>
        <w:spacing w:after="0" w:line="240" w:lineRule="auto"/>
      </w:pPr>
      <w:r>
        <w:continuationSeparator/>
      </w:r>
    </w:p>
  </w:endnote>
  <w:endnote w:type="continuationNotice" w:id="1">
    <w:p w14:paraId="51CA27F7" w14:textId="77777777" w:rsidR="00B36C59" w:rsidRDefault="00B36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C272" w14:textId="60777396" w:rsidR="006962D9" w:rsidRDefault="006962D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9A1C14" wp14:editId="5024B5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2950" cy="390525"/>
              <wp:effectExtent l="0" t="0" r="0" b="0"/>
              <wp:wrapNone/>
              <wp:docPr id="689016191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4E5D" w14:textId="1F8F1BA8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1C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58.5pt;height:30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UHcAIAALEEAAAOAAAAZHJzL2Uyb0RvYy54bWysVMFu2zAMvQ/YPwi6p7azpE2COoWT1EOB&#10;oC3QFj0rspwYsCVBUmt3w/69T3Kcbd1Owy4KTVLk49NjLq+6piavwthKyZQmZzElQnJVVHKf0qfH&#10;fDSjxDomC1YrKVL6Jiy9Wn7+dNnqhRirg6oLYQiKSLtodUoPzulFFFl+EA2zZ0oLiWCpTMMcPs0+&#10;KgxrUb2po3Ecn0etMoU2igtr4d30QboM9ctScHdXllY4UqcU2Fw4TTh3/oyWl2yxN0wfKn6Ewf4B&#10;RcMqiaanUhvmGHkx1R+lmoobZVXpzrhqIlWWFRdhBkyTxB+meTgwLcIsIMfqE032/5Xlt6/3hlRF&#10;Ss9n8zg5T+YJJZI1eKpH0TmyUh2ZUlIIy8Ha0+1dnt+sb7JtGBYJW+v82D41jPt9ml1Pkjwbj9Zx&#10;no8mk4t4NF9tJqNpnm3W2exivboe//C0R+FWuB+12i4CEv9uwXzQgOU6tIeqfLr3Wzh9t640jf8F&#10;fQRxvOvb6S09Eg7nxWQ8nyLCEfoyj6fj6bHpcFkb674K1RBvpNRAKmEo9gpMPb4hxfeSKq/qOsil&#10;lr85MIj3hCF6hB6r63Zd4PWEfqeKNwxlVC9Cq3leofWWWXfPDFQHtNgkd4ejrFWbUnW0KDko8+1v&#10;fp8PMSBKSQsVp1RizSipbyRE4gU/GGYwdsFIQEmMuHxp1gq7gVcHoGDCa1w9mKVRzTN2LPONEGKS&#10;o11Kd4O5dv06YUe5yLKQBG1r5rbyQXNf2tPluXzsnpnRR8IdXupWDRJniw+897n+ptXZiwP74VE8&#10;tT2RR8axF0FLxx32i/frd8j6+U+zfAcAAP//AwBQSwMEFAAGAAgAAAAhAKK5WNnaAAAABAEAAA8A&#10;AABkcnMvZG93bnJldi54bWxMj0FrwkAQhe9C/8Myhd50E0Vb0mxEBE+WgtpLb+vumESzsyG70fjv&#10;O/bSXh483vDeN/lycI24YhdqTwrSSQICyXhbU6ng67AZv4EIUZPVjSdUcMcAy+JplOvM+hvt8LqP&#10;peASCplWUMXYZlIGU6HTYeJbJM5OvnM6su1KaTt943LXyGmSLKTTNfFCpVtcV2gu+94pmO/iR/9J&#10;h9n3ML2ft+3azE5bo9TL87B6BxFxiH/H8MBndCiY6eh7skE0CviR+KuPLH1le1SwSOcgi1z+hy9+&#10;AAAA//8DAFBLAQItABQABgAIAAAAIQC2gziS/gAAAOEBAAATAAAAAAAAAAAAAAAAAAAAAABbQ29u&#10;dGVudF9UeXBlc10ueG1sUEsBAi0AFAAGAAgAAAAhADj9If/WAAAAlAEAAAsAAAAAAAAAAAAAAAAA&#10;LwEAAF9yZWxzLy5yZWxzUEsBAi0AFAAGAAgAAAAhAJA3pQdwAgAAsQQAAA4AAAAAAAAAAAAAAAAA&#10;LgIAAGRycy9lMm9Eb2MueG1sUEsBAi0AFAAGAAgAAAAhAKK5WNnaAAAABAEAAA8AAAAAAAAAAAAA&#10;AAAAygQAAGRycy9kb3ducmV2LnhtbFBLBQYAAAAABAAEAPMAAADRBQAAAAA=&#10;" filled="f" stroked="f">
              <v:textbox style="mso-fit-shape-to-text:t" inset="0,0,0,15pt">
                <w:txbxContent>
                  <w:p w14:paraId="47944E5D" w14:textId="1F8F1BA8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895C" w14:textId="77777777" w:rsidR="00CA1449" w:rsidRDefault="00CA1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8D74" w14:textId="47400836" w:rsidR="006962D9" w:rsidRDefault="006962D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87DAA7" wp14:editId="545501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2950" cy="390525"/>
              <wp:effectExtent l="0" t="0" r="0" b="0"/>
              <wp:wrapNone/>
              <wp:docPr id="21908230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1A5DF" w14:textId="3D7533E7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DA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OFFICIAL" style="position:absolute;margin-left:0;margin-top:0;width:58.5pt;height:30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kCcgIAALEEAAAOAAAAZHJzL2Uyb0RvYy54bWysVMFu2zAMvQ/YPwi6p3bcpE2COoWb1EOB&#10;oCnQFj0rstwYsCVBUmJ3w/59T3Lcbd1Owy4KTVLk49Njrq67piZHYWylZErHZzElQnJVVPI1pc9P&#10;+WhGiXVMFqxWUqT0TVh6vfz86arVC5GovaoLYQiKSLtodUr3zulFFFm+Fw2zZ0oLiWCpTMMcPs1r&#10;VBjWonpTR0kcX0StMoU2igtr4V33QboM9ctScLctSyscqVMKbC6cJpw7f0bLK7Z4NUzvK36Cwf4B&#10;RcMqiabvpdbMMXIw1R+lmoobZVXpzrhqIlWWFRdhBkwzjj9M87hnWoRZQI7V7zTZ/1eW3x8fDKmK&#10;lCbjeTxLzuMLSiRr8FRPonPkRnVkQkkhLAdrz/fbPL9b3WWbMCwSNtb5sX1qGPfbNLudjPMsGa3i&#10;PB9NJpfxaH6znoymebZeZbPL1c1t8t3THoVb4X7UarsISPy7BfNRA5br0B6q8uneb+H03brSNP4X&#10;9BHE8a5v72/pkXA4LyfJfIoIR+h8Hk+T6anpcFkb674I1RBvpNRAKmEodgSmHt+Q4ntJlVd1HeRS&#10;y98cGMR7whA9Qo/Vdbsu8Ho+oN+p4g1DGdWL0GqeV2i9YdY9MAPVAS02yW1xlLVqU6pOFiV7Zb7+&#10;ze/zIQZEKWmh4pRKrBkl9Z2ESLzgB8MMxi4YeOxpjLg8NCuF3RhjTTUPJrzG1YNZGtW8YMcy3wgh&#10;JjnapXQ3mCvXrxN2lIssC0nQtmZuIx8196U9XZ7Lp+6FGX0i3OGl7tUgcbb4wHuf629anR0c2A+P&#10;4qntiTwxjr0IWjrtsF+8X79D1s9/muUPAAAA//8DAFBLAwQUAAYACAAAACEAorlY2doAAAAEAQAA&#10;DwAAAGRycy9kb3ducmV2LnhtbEyPQWvCQBCF70L/wzKF3nQTRVvSbEQET5aC2ktv6+6YRLOzIbvR&#10;+O879tJeHjze8N43+XJwjbhiF2pPCtJJAgLJeFtTqeDrsBm/gQhRk9WNJ1RwxwDL4mmU68z6G+3w&#10;uo+l4BIKmVZQxdhmUgZTodNh4lskzk6+czqy7UppO33jctfIaZIspNM18UKlW1xXaC773imY7+JH&#10;/0mH2fcwvZ+37drMTluj1MvzsHoHEXGIf8fwwGd0KJjp6HuyQTQK+JH4q48sfWV7VLBI5yCLXP6H&#10;L34AAAD//wMAUEsBAi0AFAAGAAgAAAAhALaDOJL+AAAA4QEAABMAAAAAAAAAAAAAAAAAAAAAAFtD&#10;b250ZW50X1R5cGVzXS54bWxQSwECLQAUAAYACAAAACEAOP0h/9YAAACUAQAACwAAAAAAAAAAAAAA&#10;AAAvAQAAX3JlbHMvLnJlbHNQSwECLQAUAAYACAAAACEAOsopAnICAACxBAAADgAAAAAAAAAAAAAA&#10;AAAuAgAAZHJzL2Uyb0RvYy54bWxQSwECLQAUAAYACAAAACEAorlY2doAAAAEAQAADwAAAAAAAAAA&#10;AAAAAADMBAAAZHJzL2Rvd25yZXYueG1sUEsFBgAAAAAEAAQA8wAAANMFAAAAAA==&#10;" filled="f" stroked="f">
              <v:textbox style="mso-fit-shape-to-text:t" inset="0,0,0,15pt">
                <w:txbxContent>
                  <w:p w14:paraId="5CF1A5DF" w14:textId="3D7533E7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02B5" w14:textId="77777777" w:rsidR="00B36C59" w:rsidRDefault="00B36C59" w:rsidP="00A12F1B">
      <w:pPr>
        <w:spacing w:after="0" w:line="240" w:lineRule="auto"/>
      </w:pPr>
      <w:r>
        <w:separator/>
      </w:r>
    </w:p>
  </w:footnote>
  <w:footnote w:type="continuationSeparator" w:id="0">
    <w:p w14:paraId="347C5EC9" w14:textId="77777777" w:rsidR="00B36C59" w:rsidRDefault="00B36C59" w:rsidP="00A12F1B">
      <w:pPr>
        <w:spacing w:after="0" w:line="240" w:lineRule="auto"/>
      </w:pPr>
      <w:r>
        <w:continuationSeparator/>
      </w:r>
    </w:p>
  </w:footnote>
  <w:footnote w:type="continuationNotice" w:id="1">
    <w:p w14:paraId="03D3AD87" w14:textId="77777777" w:rsidR="00B36C59" w:rsidRDefault="00B36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3D9E" w14:textId="74D01A8C" w:rsidR="006962D9" w:rsidRDefault="006962D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975262" wp14:editId="003BC9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2950" cy="390525"/>
              <wp:effectExtent l="0" t="0" r="0" b="9525"/>
              <wp:wrapNone/>
              <wp:docPr id="23644779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09E7D" w14:textId="3ABD037E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752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5pt;height:30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LobQIAAKoEAAAOAAAAZHJzL2Uyb0RvYy54bWysVN9P2zAQfp+0/8Hye0kaWkorUhRaMiFV&#10;BQkQz67j0EiJbdmGhE373/fZSdjG9jTtxTnfne/Hd9/l4rJravIqjK2UTOn0JKZESK6KSj6n9PEh&#10;n5xTYh2TBauVFCl9E5Zerj9/umj1SiTqqOpCGIIg0q5andKjc3oVRZYfRcPsidJCwlgq0zCHq3mO&#10;CsNaRG/qKInjs6hVptBGcWEttNveSNchflkK7m7L0gpH6pSiNhdOE86DP6P1BVs9G6aPFR/KYP9Q&#10;RcMqiaTvobbMMfJiqj9CNRU3yqrSnXDVRKosKy5CD+hmGn/o5v7ItAi9AByr32Gy/y8s37/eGVIV&#10;KU1Oz2azxWKJgUnWYFQPonPkSnUkoaQQlgO1x/1tnt9sbrJdaBYOO+t82941tPttnl3PpnmWTDZx&#10;nk8QMZ4sr7azyTzPtpvsfLG5uk6+e9ij8Cq8j1ptV6ESP7cg3muU5TqkB6u8u9dbKH22rjSN/wI+&#10;Ajvm+vY+S18Jh3IxS5ZzWDhMp8t4nsyHpONjbaz7IlRDvJBSA6qEptgraurrG118Lqnyqq4DXWr5&#10;mwKNeE1ooq/Q1+q6QzeUfVDFG7oxqmef1TyvkHPHrLtjBnRDmVghd4ujrFWbUjVIlByV+fo3vfcH&#10;C2ClpAV9UyqxX5TUNxLs8EwPwhSdx7iZUX0YBfnSbBSWYor91DyI3s/Vo1ga1TxhuTKfCCYmOdKl&#10;1I3ixvV7hOXkIsuCE0itmdvJe819aI+TB/Ghe2JGD0g7jGivRm6z1QfAe1//0ursxQH2MA2PaQ/k&#10;ADUWIpBoWF6/cb/eg9fPX8z6BwAAAP//AwBQSwMEFAAGAAgAAAAhAJPW5ODZAAAABAEAAA8AAABk&#10;cnMvZG93bnJldi54bWxMj8FOwzAQRO9I/IO1SNyoY6QUFOJUFVIPvZVCObvxkgTi3SjetqFfj8sF&#10;LiONZjXztlxMoVdHHGPHZMHMMlBINfuOGgtvr6u7R1BRHHnXM6GFb4ywqK6vSld4PtELHrfSqFRC&#10;sXAWWpGh0DrWLQYXZzwgpeyDx+Ak2bHRfnSnVB56fZ9lcx1cR2mhdQM+t1h/bQ/BQpcvWQzu1qvP&#10;92DYnDfr/Lyx9vZmWj6BEpzk7xgu+AkdqsS05wP5qHoL6RH51UtmHpLdW5ibHHRV6v/w1Q8AAAD/&#10;/wMAUEsBAi0AFAAGAAgAAAAhALaDOJL+AAAA4QEAABMAAAAAAAAAAAAAAAAAAAAAAFtDb250ZW50&#10;X1R5cGVzXS54bWxQSwECLQAUAAYACAAAACEAOP0h/9YAAACUAQAACwAAAAAAAAAAAAAAAAAvAQAA&#10;X3JlbHMvLnJlbHNQSwECLQAUAAYACAAAACEABcbi6G0CAACqBAAADgAAAAAAAAAAAAAAAAAuAgAA&#10;ZHJzL2Uyb0RvYy54bWxQSwECLQAUAAYACAAAACEAk9bk4NkAAAAEAQAADwAAAAAAAAAAAAAAAADH&#10;BAAAZHJzL2Rvd25yZXYueG1sUEsFBgAAAAAEAAQA8wAAAM0FAAAAAA==&#10;" filled="f" stroked="f">
              <v:textbox style="mso-fit-shape-to-text:t" inset="0,15pt,0,0">
                <w:txbxContent>
                  <w:p w14:paraId="48B09E7D" w14:textId="3ABD037E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59BA" w14:textId="20B29A28" w:rsidR="00A12F1B" w:rsidRPr="008C4697" w:rsidRDefault="6E326553" w:rsidP="00CA1449">
    <w:pPr>
      <w:pStyle w:val="Heading1"/>
      <w:jc w:val="center"/>
      <w:rPr>
        <w:rFonts w:ascii="Century Gothic" w:hAnsi="Century Gothic"/>
        <w:b/>
        <w:color w:val="000000" w:themeColor="text1"/>
      </w:rPr>
    </w:pPr>
    <w:bookmarkStart w:id="0" w:name="_GoBack"/>
    <w:r w:rsidRPr="008C4697">
      <w:rPr>
        <w:rFonts w:ascii="Century Gothic" w:hAnsi="Century Gothic"/>
        <w:b/>
        <w:color w:val="000000" w:themeColor="text1"/>
      </w:rPr>
      <w:t>Redre</w:t>
    </w:r>
    <w:r w:rsidRPr="008C4697">
      <w:rPr>
        <w:rStyle w:val="Heading1Char"/>
        <w:rFonts w:ascii="Century Gothic" w:hAnsi="Century Gothic"/>
        <w:b/>
        <w:color w:val="000000" w:themeColor="text1"/>
      </w:rPr>
      <w:t>ss Sche</w:t>
    </w:r>
    <w:r w:rsidRPr="008C4697">
      <w:rPr>
        <w:rFonts w:ascii="Century Gothic" w:hAnsi="Century Gothic"/>
        <w:b/>
        <w:color w:val="000000" w:themeColor="text1"/>
      </w:rPr>
      <w:t>mes</w:t>
    </w:r>
  </w:p>
  <w:p w14:paraId="06F78606" w14:textId="703D586C" w:rsidR="00376C21" w:rsidRPr="00376C21" w:rsidRDefault="6E326553" w:rsidP="00CA1449">
    <w:pPr>
      <w:pStyle w:val="BodyText"/>
      <w:jc w:val="center"/>
      <w:rPr>
        <w:rFonts w:ascii="Century Gothic" w:hAnsi="Century Gothic"/>
        <w:sz w:val="18"/>
        <w:szCs w:val="18"/>
      </w:rPr>
    </w:pPr>
    <w:r w:rsidRPr="6E326553">
      <w:rPr>
        <w:rFonts w:ascii="Century Gothic" w:hAnsi="Century Gothic"/>
        <w:sz w:val="18"/>
        <w:szCs w:val="18"/>
      </w:rPr>
      <w:t>The following Schemes may be relevant to Stolen Generations Survivors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12C88" w14:textId="64018E45" w:rsidR="006962D9" w:rsidRDefault="006962D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BBEC39" wp14:editId="43E960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2950" cy="390525"/>
              <wp:effectExtent l="0" t="0" r="0" b="9525"/>
              <wp:wrapNone/>
              <wp:docPr id="717435857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9631D" w14:textId="068C0005" w:rsidR="006962D9" w:rsidRPr="006962D9" w:rsidRDefault="006962D9" w:rsidP="00696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62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BE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58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LEcAIAALEEAAAOAAAAZHJzL2Uyb0RvYy54bWysVFFP2zAQfp+0/2D5vSQNzQpVUxRaMiFV&#10;gEQRz67j0EiJbdmGhE3773x2GraxPU17cc5357vvvrvL8qJvG/IijK2VzOj0JKZESK7KWj5l9GFX&#10;TM4osY7JkjVKioy+CksvVp8/LTu9EIk6qKYUhiCItItOZ/TgnF5EkeUH0TJ7orSQMFbKtMzhap6i&#10;0rAO0dsmSuL4S9QpU2qjuLAW2s1gpKsQv6oEd7dVZYUjTUaBzYXThHPvz2i1ZIsnw/Sh5kcY7B9Q&#10;tKyWSPoeasMcI8+m/iNUW3OjrKrcCVdtpKqq5iLUgGqm8Ydq7g9Mi1ALyLH6nSb7/8Lym5c7Q+oy&#10;o/PpfHaanqVzSiRr0aqd6B25VD2ZUlIKy8Haw81tUVyvr/NtKBYOW+t82d41lPs9za9m0yJPJuu4&#10;KCaz2TyenF9uZpO0yDfr/Gy+vrxKfnjao/AqvI86bRcBie9bEO81YLke6TFV3t3rLZQ+W1+Z1n9B&#10;H4EdfX1976VHwqGcz5LzFBYO0+l5nCbpMen4WBvrvgrVEi9k1GBUQlHsBZgGfKOLzyVVUTdNGJdG&#10;/qZAIV4TihgQeqyu3/eB12REv1flK4oyahhCq3lRI/WWWXfHDKYOaLFJ7hZH1aguo+ooUXJQ5tvf&#10;9N4fwwArJR2mOKMSa0ZJcy0xJH7ggzAFATFuZlTvR0E+t2uF3UCPASiI3s81o1gZ1T5ix3KfCCYm&#10;OdJl1I3i2g3rhB3lIs+DE2ZbM7eV95r70J4uz+Wuf2RGHwl36NSNGkecLT7wPvj6l1bnzw7sh6Z4&#10;agcij4xjL8IsHXfYL96v9+D180+zegMAAP//AwBQSwMEFAAGAAgAAAAhAJPW5ODZAAAABAEAAA8A&#10;AABkcnMvZG93bnJldi54bWxMj8FOwzAQRO9I/IO1SNyoY6QUFOJUFVIPvZVCObvxkgTi3SjetqFf&#10;j8sFLiONZjXztlxMoVdHHGPHZMHMMlBINfuOGgtvr6u7R1BRHHnXM6GFb4ywqK6vSld4PtELHrfS&#10;qFRCsXAWWpGh0DrWLQYXZzwgpeyDx+Ak2bHRfnSnVB56fZ9lcx1cR2mhdQM+t1h/bQ/BQpcvWQzu&#10;1qvP92DYnDfr/Lyx9vZmWj6BEpzk7xgu+AkdqsS05wP5qHoL6RH51UtmHpLdW5ibHHRV6v/w1Q8A&#10;AAD//wMAUEsBAi0AFAAGAAgAAAAhALaDOJL+AAAA4QEAABMAAAAAAAAAAAAAAAAAAAAAAFtDb250&#10;ZW50X1R5cGVzXS54bWxQSwECLQAUAAYACAAAACEAOP0h/9YAAACUAQAACwAAAAAAAAAAAAAAAAAv&#10;AQAAX3JlbHMvLnJlbHNQSwECLQAUAAYACAAAACEATOfCxHACAACxBAAADgAAAAAAAAAAAAAAAAAu&#10;AgAAZHJzL2Uyb0RvYy54bWxQSwECLQAUAAYACAAAACEAk9bk4NkAAAAEAQAADwAAAAAAAAAAAAAA&#10;AADKBAAAZHJzL2Rvd25yZXYueG1sUEsFBgAAAAAEAAQA8wAAANAFAAAAAA==&#10;" filled="f" stroked="f">
              <v:textbox style="mso-fit-shape-to-text:t" inset="0,15pt,0,0">
                <w:txbxContent>
                  <w:p w14:paraId="1AE9631D" w14:textId="068C0005" w:rsidR="006962D9" w:rsidRPr="006962D9" w:rsidRDefault="006962D9" w:rsidP="00696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62D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0090"/>
    <w:multiLevelType w:val="multilevel"/>
    <w:tmpl w:val="6CB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82D"/>
    <w:multiLevelType w:val="hybridMultilevel"/>
    <w:tmpl w:val="EE943B80"/>
    <w:lvl w:ilvl="0" w:tplc="CE96F0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3504"/>
    <w:multiLevelType w:val="hybridMultilevel"/>
    <w:tmpl w:val="34E0D4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55971"/>
    <w:multiLevelType w:val="hybridMultilevel"/>
    <w:tmpl w:val="C1DA4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666BA"/>
    <w:multiLevelType w:val="hybridMultilevel"/>
    <w:tmpl w:val="8BB89126"/>
    <w:lvl w:ilvl="0" w:tplc="0C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5" w15:restartNumberingAfterBreak="0">
    <w:nsid w:val="5A19470D"/>
    <w:multiLevelType w:val="hybridMultilevel"/>
    <w:tmpl w:val="FA3EC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08"/>
    <w:rsid w:val="00000840"/>
    <w:rsid w:val="00062638"/>
    <w:rsid w:val="000B5EAB"/>
    <w:rsid w:val="001368BB"/>
    <w:rsid w:val="00180B77"/>
    <w:rsid w:val="00244ED8"/>
    <w:rsid w:val="00246C79"/>
    <w:rsid w:val="002545D6"/>
    <w:rsid w:val="00366FB8"/>
    <w:rsid w:val="00376C21"/>
    <w:rsid w:val="0038063A"/>
    <w:rsid w:val="003E0148"/>
    <w:rsid w:val="00420E0D"/>
    <w:rsid w:val="00461665"/>
    <w:rsid w:val="00470CBE"/>
    <w:rsid w:val="004C31F9"/>
    <w:rsid w:val="00517A30"/>
    <w:rsid w:val="005C7F00"/>
    <w:rsid w:val="00614698"/>
    <w:rsid w:val="0064204C"/>
    <w:rsid w:val="006962D9"/>
    <w:rsid w:val="006B5FE9"/>
    <w:rsid w:val="006C6E51"/>
    <w:rsid w:val="006F1D43"/>
    <w:rsid w:val="0072657B"/>
    <w:rsid w:val="00761555"/>
    <w:rsid w:val="007868E9"/>
    <w:rsid w:val="00797502"/>
    <w:rsid w:val="007B5470"/>
    <w:rsid w:val="008369D9"/>
    <w:rsid w:val="0088203D"/>
    <w:rsid w:val="008B4A51"/>
    <w:rsid w:val="008C4697"/>
    <w:rsid w:val="008D64ED"/>
    <w:rsid w:val="009B3DAF"/>
    <w:rsid w:val="009E4C4E"/>
    <w:rsid w:val="00A12F1B"/>
    <w:rsid w:val="00AC5142"/>
    <w:rsid w:val="00B36C59"/>
    <w:rsid w:val="00B90608"/>
    <w:rsid w:val="00CA1449"/>
    <w:rsid w:val="00D80A0D"/>
    <w:rsid w:val="00DF148A"/>
    <w:rsid w:val="00DF1C38"/>
    <w:rsid w:val="00E40C60"/>
    <w:rsid w:val="00EF238D"/>
    <w:rsid w:val="00FB226A"/>
    <w:rsid w:val="00FE2175"/>
    <w:rsid w:val="00FF6CA0"/>
    <w:rsid w:val="277868A8"/>
    <w:rsid w:val="6E3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5F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B90608"/>
    <w:pPr>
      <w:spacing w:after="120" w:line="264" w:lineRule="auto"/>
    </w:pPr>
    <w:rPr>
      <w:color w:val="262626" w:themeColor="text1" w:themeTint="D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B90608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6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608"/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B90608"/>
    <w:pPr>
      <w:ind w:left="720"/>
      <w:contextualSpacing/>
    </w:p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B90608"/>
    <w:rPr>
      <w:color w:val="262626" w:themeColor="text1" w:themeTint="D9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90608"/>
  </w:style>
  <w:style w:type="character" w:customStyle="1" w:styleId="BodyTextChar">
    <w:name w:val="Body Text Char"/>
    <w:basedOn w:val="DefaultParagraphFont"/>
    <w:link w:val="BodyText"/>
    <w:uiPriority w:val="99"/>
    <w:semiHidden/>
    <w:rsid w:val="00B90608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39"/>
    <w:rsid w:val="00B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906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906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0608"/>
    <w:rPr>
      <w:color w:val="262626" w:themeColor="text1" w:themeTint="D9"/>
      <w:sz w:val="20"/>
      <w:szCs w:val="20"/>
    </w:rPr>
  </w:style>
  <w:style w:type="paragraph" w:styleId="NormalWeb">
    <w:name w:val="Normal (Web)"/>
    <w:basedOn w:val="Normal"/>
    <w:uiPriority w:val="99"/>
    <w:unhideWhenUsed/>
    <w:rsid w:val="00B9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060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90608"/>
    <w:pPr>
      <w:widowControl w:val="0"/>
      <w:spacing w:after="0" w:line="240" w:lineRule="auto"/>
    </w:pPr>
    <w:rPr>
      <w:color w:val="auto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68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1B"/>
    <w:rPr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1B"/>
    <w:rPr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38"/>
    <w:rPr>
      <w:rFonts w:ascii="Segoe UI" w:hAnsi="Segoe UI" w:cs="Segoe UI"/>
      <w:color w:val="262626" w:themeColor="text1" w:themeTint="D9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4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cid:image001.png@01D98EF1.AD646280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vic.gov.au/stolen-generations-reparations-package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territoriesredress.gov.au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nationalredress.gov.au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help@territoriesredress.gov.au" TargetMode="Externa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territoriesredress.gov.au/resources/application-redress-form" TargetMode="External"/><Relationship Id="rId23" Type="http://schemas.openxmlformats.org/officeDocument/2006/relationships/hyperlink" Target="mailto:stolen.generations@justice.vic.gov.au" TargetMode="External"/><Relationship Id="rId28" Type="http://schemas.openxmlformats.org/officeDocument/2006/relationships/hyperlink" Target="https://www.nationalredress.gov.au/suppor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stolen-generations-reparations-packag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rritoriesredress.gov.au" TargetMode="External"/><Relationship Id="rId22" Type="http://schemas.openxmlformats.org/officeDocument/2006/relationships/hyperlink" Target="https://www.vic.gov.au/stolen-generations-reparations-package" TargetMode="External"/><Relationship Id="rId27" Type="http://schemas.openxmlformats.org/officeDocument/2006/relationships/hyperlink" Target="https://www.nationalredress.gov.a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PMCdoc-213507164-61471</_dlc_DocId>
    <_dlc_DocIdUrl xmlns="d0dfa800-9ef0-44cb-8a12-633e29de1e0b">
      <Url>https://pmc01.sharepoint.com/sites/pmc-ms-cb/_layouts/15/DocIdRedir.aspx?ID=PMCdoc-213507164-61471</Url>
      <Description>PMCdoc-213507164-61471</Description>
    </_dlc_DocIdUrl>
  </documentManagement>
</p:properties>
</file>

<file path=customXml/itemProps1.xml><?xml version="1.0" encoding="utf-8"?>
<ds:datastoreItem xmlns:ds="http://schemas.openxmlformats.org/officeDocument/2006/customXml" ds:itemID="{8036237A-3EA1-48CD-B730-DE5787D3D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7CE84-4C5E-4892-B77D-1547A76017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7D26F4-10FA-4FAD-9E81-0F42D8AB7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21259-71F1-46BC-8E9F-8B6D843AC0AD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e530a30-1469-477c-a42f-e412a5d2cfe7"/>
    <ds:schemaRef ds:uri="d0dfa800-9ef0-44cb-8a12-633e29de1e0b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1ddb86b-f2e4-4ffc-b493-a8febc5ff1fc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4724</CharactersWithSpaces>
  <SharedDoc>false</SharedDoc>
  <HLinks>
    <vt:vector size="66" baseType="variant">
      <vt:variant>
        <vt:i4>2359420</vt:i4>
      </vt:variant>
      <vt:variant>
        <vt:i4>30</vt:i4>
      </vt:variant>
      <vt:variant>
        <vt:i4>0</vt:i4>
      </vt:variant>
      <vt:variant>
        <vt:i4>5</vt:i4>
      </vt:variant>
      <vt:variant>
        <vt:lpwstr>https://www.nationalredress.gov.au/support</vt:lpwstr>
      </vt:variant>
      <vt:variant>
        <vt:lpwstr/>
      </vt:variant>
      <vt:variant>
        <vt:i4>3932196</vt:i4>
      </vt:variant>
      <vt:variant>
        <vt:i4>27</vt:i4>
      </vt:variant>
      <vt:variant>
        <vt:i4>0</vt:i4>
      </vt:variant>
      <vt:variant>
        <vt:i4>5</vt:i4>
      </vt:variant>
      <vt:variant>
        <vt:lpwstr>https://www.nationalredress.gov.au/</vt:lpwstr>
      </vt:variant>
      <vt:variant>
        <vt:lpwstr/>
      </vt:variant>
      <vt:variant>
        <vt:i4>3932196</vt:i4>
      </vt:variant>
      <vt:variant>
        <vt:i4>24</vt:i4>
      </vt:variant>
      <vt:variant>
        <vt:i4>0</vt:i4>
      </vt:variant>
      <vt:variant>
        <vt:i4>5</vt:i4>
      </vt:variant>
      <vt:variant>
        <vt:lpwstr>https://www.nationalredress.gov.au/</vt:lpwstr>
      </vt:variant>
      <vt:variant>
        <vt:lpwstr/>
      </vt:variant>
      <vt:variant>
        <vt:i4>2883679</vt:i4>
      </vt:variant>
      <vt:variant>
        <vt:i4>21</vt:i4>
      </vt:variant>
      <vt:variant>
        <vt:i4>0</vt:i4>
      </vt:variant>
      <vt:variant>
        <vt:i4>5</vt:i4>
      </vt:variant>
      <vt:variant>
        <vt:lpwstr>mailto:stolen.generations@justice.vic.gov.au</vt:lpwstr>
      </vt:variant>
      <vt:variant>
        <vt:lpwstr/>
      </vt:variant>
      <vt:variant>
        <vt:i4>5767171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https://www.vic.gov.au/stolen-generations-reparations-package</vt:lpwstr>
      </vt:variant>
      <vt:variant>
        <vt:lpwstr>apply-now</vt:lpwstr>
      </vt:variant>
      <vt:variant>
        <vt:i4>720926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http://www.vic.gov.au/stolen-generations-reparations-package</vt:lpwstr>
      </vt:variant>
      <vt:variant>
        <vt:lpwstr/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https://www.vic.gov.au/stolen-generations-reparations-package</vt:lpwstr>
      </vt:variant>
      <vt:variant>
        <vt:lpwstr/>
      </vt:variant>
      <vt:variant>
        <vt:i4>2228302</vt:i4>
      </vt:variant>
      <vt:variant>
        <vt:i4>9</vt:i4>
      </vt:variant>
      <vt:variant>
        <vt:i4>0</vt:i4>
      </vt:variant>
      <vt:variant>
        <vt:i4>5</vt:i4>
      </vt:variant>
      <vt:variant>
        <vt:lpwstr>mailto:help@territoriesredress.gov.au</vt:lpwstr>
      </vt:variant>
      <vt:variant>
        <vt:lpwstr/>
      </vt:variant>
      <vt:variant>
        <vt:i4>2162815</vt:i4>
      </vt:variant>
      <vt:variant>
        <vt:i4>6</vt:i4>
      </vt:variant>
      <vt:variant>
        <vt:i4>0</vt:i4>
      </vt:variant>
      <vt:variant>
        <vt:i4>5</vt:i4>
      </vt:variant>
      <vt:variant>
        <vt:lpwstr>http://territoriesredress.gov.au/resources/application-redress-form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https://portal.territoriesredress.gov.au/</vt:lpwstr>
      </vt:variant>
      <vt:variant>
        <vt:lpwstr/>
      </vt:variant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https://territoriesredress.gov.au/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Redress Schemes</dc:title>
  <dc:subject/>
  <dc:creator/>
  <cp:keywords/>
  <dc:description/>
  <cp:lastModifiedBy/>
  <cp:revision>1</cp:revision>
  <dcterms:created xsi:type="dcterms:W3CDTF">2025-02-14T00:14:00Z</dcterms:created>
  <dcterms:modified xsi:type="dcterms:W3CDTF">2025-02-14T00:14:00Z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7" name="MediaServiceImageTags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14" name="InformationMarker">
    <vt:lpwstr/>
  </property>
  <property fmtid="{D5CDD505-2E9C-101B-9397-08002B2CF9AE}" pid="15" name="_dlc_DocIdItemGuid">
    <vt:lpwstr>a1607d39-8e5e-4759-8c01-c49878557561</vt:lpwstr>
  </property>
</Properties>
</file>